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209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0067-01-2026-000475-94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18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Лесько Артема Ивановича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1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Лесько А.И.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2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15.07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 xml:space="preserve">взносам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</w:rPr>
        <w:t>25.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Лесько А.И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 xml:space="preserve">ый </w:t>
      </w:r>
      <w:r>
        <w:rPr>
          <w:rFonts w:ascii="Times New Roman" w:eastAsia="Times New Roman" w:hAnsi="Times New Roman" w:cs="Times New Roman"/>
        </w:rPr>
        <w:t>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Лесько А.И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п. 7 ст. 431 НК РФ </w:t>
      </w:r>
      <w:r>
        <w:rPr>
          <w:rFonts w:ascii="Times New Roman" w:eastAsia="Times New Roman" w:hAnsi="Times New Roman" w:cs="Times New Roman"/>
        </w:rPr>
        <w:t>плательщики,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 п. 1 ст. 419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данного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3 п. 3 ст. 422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</w:rPr>
          <w:t>форме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 в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</w:rPr>
          <w:t>порядке</w:t>
        </w:r>
      </w:hyperlink>
      <w:r>
        <w:rPr>
          <w:rFonts w:ascii="Times New Roman" w:eastAsia="Times New Roman" w:hAnsi="Times New Roman" w:cs="Times New Roman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Лесько А.И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суду представлены: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35656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15.01.2026 года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выписка из Единого государст</w:t>
      </w:r>
      <w:r>
        <w:rPr>
          <w:rFonts w:ascii="Times New Roman" w:eastAsia="Times New Roman" w:hAnsi="Times New Roman" w:cs="Times New Roman"/>
        </w:rPr>
        <w:t>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справка </w:t>
      </w:r>
      <w:r>
        <w:rPr>
          <w:rFonts w:ascii="Times New Roman" w:eastAsia="Times New Roman" w:hAnsi="Times New Roman" w:cs="Times New Roman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4548</w:t>
      </w:r>
      <w:r>
        <w:rPr>
          <w:rFonts w:ascii="Times New Roman" w:eastAsia="Times New Roman" w:hAnsi="Times New Roman" w:cs="Times New Roman"/>
        </w:rPr>
        <w:t>/13/413С</w:t>
      </w:r>
      <w:r>
        <w:rPr>
          <w:rFonts w:ascii="Times New Roman" w:eastAsia="Times New Roman" w:hAnsi="Times New Roman" w:cs="Times New Roman"/>
        </w:rPr>
        <w:t xml:space="preserve"> от 10.11.2025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список почтовых отправлений;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25746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 xml:space="preserve">/413С от 02.12.2025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Лесько А.И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</w:rPr>
        <w:t xml:space="preserve">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</w:t>
      </w:r>
      <w:r>
        <w:rPr>
          <w:rFonts w:ascii="Times New Roman" w:eastAsia="Times New Roman" w:hAnsi="Times New Roman" w:cs="Times New Roman"/>
        </w:rPr>
        <w:t>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ответственность, суд не усматривает. </w:t>
      </w:r>
      <w:r>
        <w:rPr>
          <w:rFonts w:ascii="Times New Roman" w:eastAsia="Times New Roman" w:hAnsi="Times New Roman" w:cs="Times New Roman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</w:rPr>
        <w:t>27.11.2024</w:t>
      </w:r>
      <w:r>
        <w:rPr>
          <w:rFonts w:ascii="Times New Roman" w:eastAsia="Times New Roman" w:hAnsi="Times New Roman" w:cs="Times New Roman"/>
        </w:rPr>
        <w:t xml:space="preserve"> года по делу № 5-</w:t>
      </w:r>
      <w:r>
        <w:rPr>
          <w:rFonts w:ascii="Times New Roman" w:eastAsia="Times New Roman" w:hAnsi="Times New Roman" w:cs="Times New Roman"/>
        </w:rPr>
        <w:t>1994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/2024).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наказания, суд учитывает характер </w:t>
      </w:r>
      <w:r>
        <w:rPr>
          <w:rFonts w:ascii="Times New Roman" w:eastAsia="Times New Roman" w:hAnsi="Times New Roman" w:cs="Times New Roman"/>
        </w:rPr>
        <w:t xml:space="preserve">и степень общественной опасности </w:t>
      </w:r>
      <w:r>
        <w:rPr>
          <w:rFonts w:ascii="Times New Roman" w:eastAsia="Times New Roman" w:hAnsi="Times New Roman" w:cs="Times New Roman"/>
        </w:rPr>
        <w:t>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Лесько Артема Ивановича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 виновн</w:t>
      </w:r>
      <w:r>
        <w:rPr>
          <w:rFonts w:ascii="Times New Roman" w:eastAsia="Times New Roman" w:hAnsi="Times New Roman" w:cs="Times New Roman"/>
        </w:rPr>
        <w:t xml:space="preserve">ым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</w:rPr>
        <w:t xml:space="preserve">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0412365400675002092615107.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</w:rPr>
        <w:t>вую судью судебного участка № 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18.02.2026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209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2rplc-22">
    <w:name w:val="cat-UserDefined grp-42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